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2" w:lineRule="exact"/>
        <w:jc w:val="left"/>
        <w:rPr>
          <w:rFonts w:ascii="Times New Roman" w:hAnsi="Times New Roman" w:eastAsia="仿宋_GB2312"/>
          <w:sz w:val="33"/>
          <w:szCs w:val="33"/>
        </w:rPr>
      </w:pPr>
      <w:r>
        <w:rPr>
          <w:rFonts w:ascii="Times New Roman" w:hAnsi="Times New Roman" w:eastAsia="仿宋_GB2312"/>
          <w:sz w:val="33"/>
          <w:szCs w:val="33"/>
        </w:rPr>
        <w:t>附件</w:t>
      </w:r>
    </w:p>
    <w:p>
      <w:pPr>
        <w:spacing w:line="592" w:lineRule="exact"/>
        <w:ind w:left="2363" w:hanging="2362" w:hangingChars="537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贡井区改革完善体制机制</w:t>
      </w:r>
    </w:p>
    <w:p>
      <w:pPr>
        <w:spacing w:line="592" w:lineRule="exact"/>
        <w:ind w:left="2363" w:hanging="2362" w:hangingChars="537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大力促进大学生创新创业责任分工表</w:t>
      </w:r>
    </w:p>
    <w:tbl>
      <w:tblPr>
        <w:tblStyle w:val="3"/>
        <w:tblpPr w:leftFromText="180" w:rightFromText="180" w:vertAnchor="text" w:horzAnchor="margin" w:tblpX="-190" w:tblpY="128"/>
        <w:tblW w:w="9801" w:type="dxa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2"/>
        <w:gridCol w:w="3516"/>
        <w:gridCol w:w="1454"/>
        <w:gridCol w:w="4259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71" w:lineRule="exact"/>
              <w:ind w:left="64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71" w:lineRule="exact"/>
              <w:ind w:left="1364"/>
              <w:jc w:val="left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>工作任务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71" w:lineRule="exact"/>
              <w:ind w:left="142"/>
              <w:jc w:val="left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>牵头单位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71" w:lineRule="exact"/>
              <w:ind w:left="1276"/>
              <w:jc w:val="left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>责任单位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实行大学生创新创业教育培训全覆盖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区人力资源和社会保障局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各乡镇、街道，电信职校、区教育局、区科学技术和知识产权局、工业园区、区农牧林业局等，依托四川理工学院、四川康复职业学院等支持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建立区级大学生创新创业活动中心1个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区人力资源和社会保障局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区人才办、区人力资源服务中心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鼓励电信职校试点建立创新创业俱乐部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区人才办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区教育局、区人力资源和社会保障局、电信职校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建立大学生创新创业园1个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区经济和信息化局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工业园区、区科学技术和知识产权局、区人力资源和社会保障局、区农牧林业局等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组织开展各类大学生创新创业大赛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区人力资源和社会保障局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团区委、区经济和信息化局、区科学技术和知识产权局等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建立大学生创新创业导师队伍，开展创新创业辅导和创新创业培训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区教育局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区人力资源和社会保障局、区科学技术和知识产权局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评审认定区级大学生创新创业园及大学生创新创业俱乐部，并给予资金补助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区人才办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区发展和改革局、区经济和信息化局、区教育局、区科学技术和知识产权局、区人力资源和社会保障局、区财政局、团区委等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支持大学生从事现代农业创新创业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区农牧林业局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区委农工委、区财政局、区水务局等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扶持大学生创新创业大赛获奖项目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区人力资源和社会保障局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团区委、区经济和信息化局、区教育局、区科学技术和知识产权局、区财政局、区人才办等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对大学生创新创业提供各类金融服务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区财政局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区内金融机构、区人力资源和社会保障局等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降低大学生创业开办成本和经营成本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区人才办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区工商局、区地税局、区质监局、区公安分局、工业园区等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1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强化创新创业配套服务支持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区人力资源和社会保障局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区人才办、区发展和改革局、区经济和信息化局、区科学技术和知识产权局、区国土资源局、区城乡建设和住房保障局、区商务旅游和投资促进局、区工商局、区地税局、区政务服务中心等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设立大学生创新创业服务窗口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区政务服务中心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区级相关部门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exact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营造鼓励创新创业的良好氛围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区委宣传部</w:t>
            </w:r>
          </w:p>
        </w:tc>
        <w:tc>
          <w:tcPr>
            <w:tcW w:w="4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区经济和信息化局、区教育局、区科学技术和知识产权局、区人力资源和社会保障局、工业园区，各乡镇、街道等</w:t>
            </w:r>
          </w:p>
        </w:tc>
      </w:tr>
    </w:tbl>
    <w:p>
      <w:pPr>
        <w:rPr>
          <w:rFonts w:ascii="Times New Roman" w:hAnsi="Times New Roman" w:eastAsia="仿宋_GB2312"/>
          <w:sz w:val="33"/>
          <w:szCs w:val="33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345B65"/>
    <w:rsid w:val="6134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2018-12-29T07:34:00Z</dcterms:created>
  <dc:creator>曾明杰-自贡百信网络科技</dc:creator>
  <cp:lastModifiedBy>曾明杰-自贡百信网络科技</cp:lastModifiedBy>
  <dcterms:modified xsi:type="dcterms:W3CDTF">2018-12-29T07:34:53Z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